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76" w:lineRule="auto"/>
        <w:jc w:val="center"/>
      </w:pPr>
      <w:r>
        <w:rPr>
          <w:rFonts w:ascii="Arial" w:hAnsi="Arial"/>
          <w:b/>
          <w:sz w:val="24"/>
        </w:rPr>
        <w:t>CỘNG HÒA XÃ HỘI CHỦ NGHĨA VIỆT NAM</w:t>
      </w:r>
    </w:p>
    <w:p>
      <w:pPr>
        <w:spacing w:before="0" w:after="120" w:line="276" w:lineRule="auto"/>
        <w:jc w:val="center"/>
      </w:pPr>
      <w:r>
        <w:rPr>
          <w:rFonts w:ascii="Arial" w:hAnsi="Arial"/>
          <w:b/>
          <w:sz w:val="26"/>
        </w:rPr>
        <w:t>Độc lập - Tự do - Hạnh phúc</w:t>
      </w:r>
    </w:p>
    <w:p>
      <w:pPr>
        <w:spacing w:before="0" w:after="360" w:line="276" w:lineRule="auto"/>
        <w:jc w:val="center"/>
      </w:pPr>
      <w:r>
        <w:t>---------------o0o---------------</w:t>
      </w:r>
    </w:p>
    <w:p>
      <w:pPr>
        <w:spacing w:before="0" w:after="360" w:line="276" w:lineRule="auto"/>
        <w:jc w:val="center"/>
      </w:pPr>
      <w:r>
        <w:rPr>
          <w:rFonts w:ascii="Arial" w:hAnsi="Arial"/>
          <w:b/>
          <w:color w:val="1A5276"/>
          <w:sz w:val="32"/>
        </w:rPr>
        <w:t>CẨM NANG &amp; HƯỚNG DẪN CHI TIẾT</w:t>
        <w:br/>
        <w:t>THỦ TỤC ĐĂNG KÝ THAM GIA BẢO HIỂM XÃ HỘI LẦN ĐẦU</w:t>
      </w:r>
    </w:p>
    <w:p>
      <w:pPr>
        <w:spacing w:before="0" w:after="120" w:line="276" w:lineRule="auto"/>
        <w:jc w:val="left"/>
      </w:pPr>
      <w:r>
        <w:rPr>
          <w:rFonts w:ascii="Arial" w:hAnsi="Arial"/>
          <w:i/>
          <w:sz w:val="22"/>
        </w:rPr>
        <w:t>Tài liệu hướng dẫn nghiệp vụ chuẩn hóa áp dụng cho Doanh nghiệp mới thành lập thực hiện thủ tục đăng ký tham gia Bảo hiểm xã hội (BHXH), Bảo hiểm y tế (BHYT), Bảo hiểm thất nghiệp (BHTN) lần đầu trực tuyến 100%.</w:t>
      </w:r>
    </w:p>
    <w:p>
      <w:pPr>
        <w:spacing w:before="240" w:after="120" w:line="276" w:lineRule="auto"/>
        <w:jc w:val="left"/>
      </w:pPr>
      <w:r>
        <w:rPr>
          <w:rFonts w:ascii="Arial" w:hAnsi="Arial"/>
          <w:b/>
          <w:color w:val="1A5276"/>
          <w:sz w:val="26"/>
        </w:rPr>
        <w:t>I. DANH MỤC HỒ SƠ PHÁP LÝ CẦN CHUẨN BỊ (SỐ HÓA PDF/ẢNH)</w:t>
      </w:r>
    </w:p>
    <w:p>
      <w:pPr>
        <w:spacing w:before="0" w:after="120" w:line="276" w:lineRule="auto"/>
        <w:jc w:val="left"/>
      </w:pPr>
      <w:r>
        <w:rPr>
          <w:rFonts w:ascii="Arial" w:hAnsi="Arial"/>
          <w:b/>
        </w:rPr>
        <w:t>1. Hồ sơ của Doanh nghiệp (Người sử dụng lao động):</w:t>
      </w:r>
    </w:p>
    <w:p>
      <w:pPr>
        <w:pStyle w:val="ListBullet"/>
        <w:spacing w:before="0" w:after="120" w:line="276" w:lineRule="auto"/>
        <w:jc w:val="left"/>
      </w:pPr>
      <w:r>
        <w:rPr>
          <w:rFonts w:ascii="Arial" w:hAnsi="Arial"/>
          <w:b/>
          <w:sz w:val="22"/>
        </w:rPr>
        <w:t xml:space="preserve">Tờ khai tham gia, điều chỉnh thông tin BHXH, BHYT (Mẫu TK3-TS): </w:t>
      </w:r>
      <w:r>
        <w:rPr>
          <w:rFonts w:ascii="Arial" w:hAnsi="Arial"/>
          <w:sz w:val="22"/>
        </w:rPr>
        <w:t>Khai báo toàn bộ thông tin định danh của doanh nghiệp, địa chỉ nhận thông báo, số tài khoản ngân hàng và thông tin chữ ký số điện tử.</w:t>
      </w:r>
    </w:p>
    <w:p>
      <w:pPr>
        <w:pStyle w:val="ListBullet"/>
        <w:spacing w:before="0" w:after="120" w:line="276" w:lineRule="auto"/>
        <w:jc w:val="left"/>
      </w:pPr>
      <w:r>
        <w:rPr>
          <w:rFonts w:ascii="Arial" w:hAnsi="Arial"/>
          <w:b/>
          <w:sz w:val="22"/>
        </w:rPr>
        <w:t xml:space="preserve">Giấy chứng nhận đăng ký doanh nghiệp: </w:t>
      </w:r>
      <w:r>
        <w:rPr>
          <w:rFonts w:ascii="Arial" w:hAnsi="Arial"/>
          <w:sz w:val="22"/>
        </w:rPr>
        <w:t>Bản scan rõ nét định dạng PDF hoặc JPEG trực tiếp từ bản gốc do Sở Kế hoạch và Đầu tư cấp.</w:t>
      </w:r>
    </w:p>
    <w:p>
      <w:pPr>
        <w:spacing w:before="0" w:after="120" w:line="276" w:lineRule="auto"/>
        <w:jc w:val="left"/>
      </w:pPr>
      <w:r>
        <w:rPr>
          <w:rFonts w:ascii="Arial" w:hAnsi="Arial"/>
          <w:b/>
        </w:rPr>
        <w:t>2. Hồ sơ của Người lao động (Nhân viên):</w:t>
      </w:r>
    </w:p>
    <w:p>
      <w:pPr>
        <w:pStyle w:val="ListBullet"/>
        <w:spacing w:before="0" w:after="120" w:line="276" w:lineRule="auto"/>
        <w:jc w:val="left"/>
      </w:pPr>
      <w:r>
        <w:rPr>
          <w:rFonts w:ascii="Arial" w:hAnsi="Arial"/>
          <w:b/>
          <w:sz w:val="22"/>
        </w:rPr>
        <w:t xml:space="preserve">Tờ khai tham gia, điều chỉnh thông tin BHXH, BHYT (Mẫu TK1-TS): </w:t>
      </w:r>
      <w:r>
        <w:rPr>
          <w:rFonts w:ascii="Arial" w:hAnsi="Arial"/>
          <w:sz w:val="22"/>
        </w:rPr>
        <w:t>Do từng nhân viên tự kê khai thông tin cá nhân. Đối với nhân viên đã có mã số BHXH cũ từ công ty trước, bắt buộc điền đúng mã số 10 chữ số để hệ thống đồng bộ, tránh cấp trùng thẻ.</w:t>
      </w:r>
    </w:p>
    <w:p>
      <w:pPr>
        <w:pStyle w:val="ListBullet"/>
        <w:spacing w:before="0" w:after="120" w:line="276" w:lineRule="auto"/>
        <w:jc w:val="left"/>
      </w:pPr>
      <w:r>
        <w:rPr>
          <w:rFonts w:ascii="Arial" w:hAnsi="Arial"/>
          <w:b/>
          <w:sz w:val="22"/>
        </w:rPr>
        <w:t xml:space="preserve">Bảng kê thông tin (Mẫu D01-TS): </w:t>
      </w:r>
      <w:r>
        <w:rPr>
          <w:rFonts w:ascii="Arial" w:hAnsi="Arial"/>
          <w:sz w:val="22"/>
        </w:rPr>
        <w:t>Tổng hợp toàn bộ hồ sơ làm căn cứ báo tăng lao động (Đính kèm Hợp đồng lao động chính thức hoặc Quyết định tuyển dụng để xác minh mức tiền lương trích đóng).</w:t>
      </w:r>
    </w:p>
    <w:p>
      <w:pPr>
        <w:spacing w:before="240" w:after="120" w:line="276" w:lineRule="auto"/>
        <w:jc w:val="left"/>
      </w:pPr>
      <w:r>
        <w:rPr>
          <w:rFonts w:ascii="Arial" w:hAnsi="Arial"/>
          <w:b/>
          <w:color w:val="1A5276"/>
          <w:sz w:val="26"/>
        </w:rPr>
        <w:t>II. QUY TRÌNH 4 BƯỚC ĐĂNG KÝ BHXH ĐIỆN TỬ TRỰC TUYẾN 100%</w:t>
      </w:r>
    </w:p>
    <w:p>
      <w:pPr>
        <w:spacing w:before="0" w:after="120" w:line="276" w:lineRule="auto"/>
        <w:jc w:val="left"/>
      </w:pPr>
      <w:r>
        <w:rPr>
          <w:rFonts w:ascii="Arial" w:hAnsi="Arial"/>
          <w:b/>
          <w:sz w:val="22"/>
        </w:rPr>
        <w:t xml:space="preserve">Bước 1: Cắm Chữ ký số (USB Token) </w:t>
      </w:r>
      <w:r>
        <w:rPr>
          <w:rFonts w:ascii="Arial" w:hAnsi="Arial"/>
          <w:sz w:val="22"/>
        </w:rPr>
        <w:t>của công ty vào máy tính. Truy cập Cổng dịch vụ công BHXH Việt Nam hoặc mở phần mềm khai bảo hiểm điện tử được cấp phép (VNPT, Viettel, BKAV, IVAN...). Tiến hành đăng ký tài khoản giao dịch điện tử của tổ chức.</w:t>
      </w:r>
    </w:p>
    <w:p>
      <w:pPr>
        <w:spacing w:before="0" w:after="120" w:line="276" w:lineRule="auto"/>
        <w:jc w:val="left"/>
      </w:pPr>
      <w:r>
        <w:rPr>
          <w:rFonts w:ascii="Arial" w:hAnsi="Arial"/>
          <w:b/>
          <w:sz w:val="22"/>
        </w:rPr>
        <w:t xml:space="preserve">Bước 2: Đăng nhập </w:t>
      </w:r>
      <w:r>
        <w:rPr>
          <w:rFonts w:ascii="Arial" w:hAnsi="Arial"/>
          <w:sz w:val="22"/>
        </w:rPr>
        <w:t xml:space="preserve">vào hệ thống bằng mã số thuế công ty và chữ ký số. Tìm chọn menu chức năng </w:t>
      </w:r>
      <w:r>
        <w:rPr>
          <w:rFonts w:ascii="Arial" w:hAnsi="Arial"/>
          <w:i/>
          <w:sz w:val="22"/>
        </w:rPr>
        <w:t>“Đăng ký tham gia và cấp sổ BHXH, thẻ BHYT” (Mã thủ tục quy định: 600).</w:t>
      </w:r>
    </w:p>
    <w:p>
      <w:pPr>
        <w:spacing w:before="0" w:after="120" w:line="276" w:lineRule="auto"/>
        <w:jc w:val="left"/>
      </w:pPr>
      <w:r>
        <w:rPr>
          <w:rFonts w:ascii="Arial" w:hAnsi="Arial"/>
          <w:b/>
          <w:sz w:val="22"/>
        </w:rPr>
        <w:t xml:space="preserve">Bước 3: Lập tờ khai kỹ thuật số. </w:t>
      </w:r>
      <w:r>
        <w:rPr>
          <w:rFonts w:ascii="Arial" w:hAnsi="Arial"/>
          <w:sz w:val="22"/>
        </w:rPr>
        <w:t>Điền thông tin doanh nghiệp (Mẫu TK3-TS), sau đó nhập liệu thông tin cá nhân của người lao động (Mẫu TK1-TS) bao gồm vị trí chức vụ, mức lương cơ bản và các khoản phụ cấp tính đóng bảo hiểm trên hợp đồng.</w:t>
      </w:r>
    </w:p>
    <w:p>
      <w:pPr>
        <w:spacing w:before="0" w:after="120" w:line="276" w:lineRule="auto"/>
        <w:jc w:val="left"/>
      </w:pPr>
      <w:r>
        <w:rPr>
          <w:rFonts w:ascii="Arial" w:hAnsi="Arial"/>
          <w:b/>
          <w:sz w:val="22"/>
        </w:rPr>
        <w:t xml:space="preserve">Bước 4: Đính kèm tài liệu file scan </w:t>
      </w:r>
      <w:r>
        <w:rPr>
          <w:rFonts w:ascii="Arial" w:hAnsi="Arial"/>
          <w:sz w:val="22"/>
        </w:rPr>
        <w:t xml:space="preserve">hợp đồng lao động, thực hiện ký số Token công ty và bấm nút </w:t>
      </w:r>
      <w:r>
        <w:rPr>
          <w:rFonts w:ascii="Arial" w:hAnsi="Arial"/>
          <w:b/>
          <w:sz w:val="22"/>
        </w:rPr>
        <w:t>“Gửi hồ sơ”</w:t>
      </w:r>
      <w:r>
        <w:rPr>
          <w:rFonts w:ascii="Arial" w:hAnsi="Arial"/>
          <w:sz w:val="22"/>
        </w:rPr>
        <w:t xml:space="preserve"> trực tiếp lên Cơ quan bảo hiểm quản lý huyện/thành phố.</w:t>
      </w:r>
    </w:p>
    <w:p>
      <w:pPr>
        <w:spacing w:before="240" w:after="120" w:line="276" w:lineRule="auto"/>
        <w:jc w:val="left"/>
      </w:pPr>
      <w:r>
        <w:rPr>
          <w:rFonts w:ascii="Arial" w:hAnsi="Arial"/>
          <w:b/>
          <w:color w:val="1A5276"/>
          <w:sz w:val="26"/>
        </w:rPr>
        <w:t>III. BẢNG TỶ LỆ TRÍCH ĐÓNG BHXH BẮT BUỘC HIỆN HÀNH (NĂM 2026)</w:t>
      </w:r>
    </w:p>
    <w:tbl>
      <w:tblPr>
        <w:tblW w:type="auto" w:w="0"/>
        <w:jc w:val="center"/>
        <w:tblLook w:firstColumn="1" w:firstRow="1" w:lastColumn="0" w:lastRow="0" w:noHBand="0" w:noVBand="1" w:val="04A0"/>
      </w:tblPr>
      <w:tblGrid>
        <w:gridCol w:w="2340"/>
        <w:gridCol w:w="2340"/>
        <w:gridCol w:w="2340"/>
        <w:gridCol w:w="2340"/>
      </w:tblGrid>
      <w:tr>
        <w:tc>
          <w:tcPr>
            <w:tcW w:type="dxa" w:w="2340"/>
            <w:shd w:fill="1A5276"/>
            <w:tcMar>
              <w:top w:w="120" w:type="dxa"/>
              <w:bottom w:w="120" w:type="dxa"/>
              <w:left w:w="150" w:type="dxa"/>
              <w:right w:w="150" w:type="dxa"/>
            </w:tcMar>
          </w:tcPr>
          <w:p>
            <w:pPr>
              <w:jc w:val="center"/>
            </w:pPr>
            <w:r>
              <w:rPr>
                <w:rFonts w:ascii="Arial" w:hAnsi="Arial"/>
                <w:b/>
                <w:color w:val="FFFFFF"/>
                <w:sz w:val="21"/>
              </w:rPr>
              <w:t>Quỹ Thành Phần</w:t>
            </w:r>
          </w:p>
        </w:tc>
        <w:tc>
          <w:tcPr>
            <w:tcW w:type="dxa" w:w="2340"/>
            <w:shd w:fill="1A5276"/>
            <w:tcMar>
              <w:top w:w="120" w:type="dxa"/>
              <w:bottom w:w="120" w:type="dxa"/>
              <w:left w:w="150" w:type="dxa"/>
              <w:right w:w="150" w:type="dxa"/>
            </w:tcMar>
          </w:tcPr>
          <w:p>
            <w:pPr>
              <w:jc w:val="center"/>
            </w:pPr>
            <w:r>
              <w:rPr>
                <w:rFonts w:ascii="Arial" w:hAnsi="Arial"/>
                <w:b/>
                <w:color w:val="FFFFFF"/>
                <w:sz w:val="21"/>
              </w:rPr>
              <w:t>Doanh Nghiệp Đóng</w:t>
            </w:r>
          </w:p>
        </w:tc>
        <w:tc>
          <w:tcPr>
            <w:tcW w:type="dxa" w:w="2340"/>
            <w:shd w:fill="1A5276"/>
            <w:tcMar>
              <w:top w:w="120" w:type="dxa"/>
              <w:bottom w:w="120" w:type="dxa"/>
              <w:left w:w="150" w:type="dxa"/>
              <w:right w:w="150" w:type="dxa"/>
            </w:tcMar>
          </w:tcPr>
          <w:p>
            <w:pPr>
              <w:jc w:val="center"/>
            </w:pPr>
            <w:r>
              <w:rPr>
                <w:rFonts w:ascii="Arial" w:hAnsi="Arial"/>
                <w:b/>
                <w:color w:val="FFFFFF"/>
                <w:sz w:val="21"/>
              </w:rPr>
              <w:t>Người Lao Động Đóng</w:t>
            </w:r>
          </w:p>
        </w:tc>
        <w:tc>
          <w:tcPr>
            <w:tcW w:type="dxa" w:w="2340"/>
            <w:shd w:fill="1A5276"/>
            <w:tcMar>
              <w:top w:w="120" w:type="dxa"/>
              <w:bottom w:w="120" w:type="dxa"/>
              <w:left w:w="150" w:type="dxa"/>
              <w:right w:w="150" w:type="dxa"/>
            </w:tcMar>
          </w:tcPr>
          <w:p>
            <w:pPr>
              <w:jc w:val="center"/>
            </w:pPr>
            <w:r>
              <w:rPr>
                <w:rFonts w:ascii="Arial" w:hAnsi="Arial"/>
                <w:b/>
                <w:color w:val="FFFFFF"/>
                <w:sz w:val="21"/>
              </w:rPr>
              <w:t>Tổng Cộng Tỷ Lệ</w:t>
            </w:r>
          </w:p>
        </w:tc>
      </w:tr>
      <w:tr>
        <w:tc>
          <w:tcPr>
            <w:tcW w:type="dxa" w:w="2340"/>
            <w:tcMar>
              <w:top w:w="100" w:type="dxa"/>
              <w:bottom w:w="100" w:type="dxa"/>
              <w:left w:w="150" w:type="dxa"/>
              <w:right w:w="150" w:type="dxa"/>
            </w:tcMar>
          </w:tcPr>
          <w:p>
            <w:pPr>
              <w:jc w:val="left"/>
            </w:pPr>
            <w:r>
              <w:rPr>
                <w:rFonts w:ascii="Arial" w:hAnsi="Arial"/>
                <w:sz w:val="20"/>
              </w:rPr>
              <w:t>1. Quỹ Hưu trí, tử tuất</w:t>
            </w:r>
          </w:p>
        </w:tc>
        <w:tc>
          <w:tcPr>
            <w:tcW w:type="dxa" w:w="2340"/>
            <w:tcMar>
              <w:top w:w="100" w:type="dxa"/>
              <w:bottom w:w="100" w:type="dxa"/>
              <w:left w:w="150" w:type="dxa"/>
              <w:right w:w="150" w:type="dxa"/>
            </w:tcMar>
          </w:tcPr>
          <w:p>
            <w:pPr>
              <w:jc w:val="center"/>
            </w:pPr>
            <w:r>
              <w:rPr>
                <w:rFonts w:ascii="Arial" w:hAnsi="Arial"/>
                <w:sz w:val="20"/>
              </w:rPr>
              <w:t>14%</w:t>
            </w:r>
          </w:p>
        </w:tc>
        <w:tc>
          <w:tcPr>
            <w:tcW w:type="dxa" w:w="2340"/>
            <w:tcMar>
              <w:top w:w="100" w:type="dxa"/>
              <w:bottom w:w="100" w:type="dxa"/>
              <w:left w:w="150" w:type="dxa"/>
              <w:right w:w="150" w:type="dxa"/>
            </w:tcMar>
          </w:tcPr>
          <w:p>
            <w:pPr>
              <w:jc w:val="center"/>
            </w:pPr>
            <w:r>
              <w:rPr>
                <w:rFonts w:ascii="Arial" w:hAnsi="Arial"/>
                <w:sz w:val="20"/>
              </w:rPr>
              <w:t>8%</w:t>
            </w:r>
          </w:p>
        </w:tc>
        <w:tc>
          <w:tcPr>
            <w:tcW w:type="dxa" w:w="2340"/>
            <w:tcMar>
              <w:top w:w="100" w:type="dxa"/>
              <w:bottom w:w="100" w:type="dxa"/>
              <w:left w:w="150" w:type="dxa"/>
              <w:right w:w="150" w:type="dxa"/>
            </w:tcMar>
          </w:tcPr>
          <w:p>
            <w:pPr>
              <w:jc w:val="center"/>
            </w:pPr>
            <w:r>
              <w:rPr>
                <w:rFonts w:ascii="Arial" w:hAnsi="Arial"/>
                <w:sz w:val="20"/>
              </w:rPr>
              <w:t>22%</w:t>
            </w:r>
          </w:p>
        </w:tc>
      </w:tr>
      <w:tr>
        <w:tc>
          <w:tcPr>
            <w:tcW w:type="dxa" w:w="2340"/>
            <w:tcMar>
              <w:top w:w="100" w:type="dxa"/>
              <w:bottom w:w="100" w:type="dxa"/>
              <w:left w:w="150" w:type="dxa"/>
              <w:right w:w="150" w:type="dxa"/>
            </w:tcMar>
            <w:shd w:fill="F9F9F9"/>
          </w:tcPr>
          <w:p>
            <w:pPr>
              <w:jc w:val="left"/>
            </w:pPr>
            <w:r>
              <w:rPr>
                <w:rFonts w:ascii="Arial" w:hAnsi="Arial"/>
                <w:sz w:val="20"/>
              </w:rPr>
              <w:t>2. Quỹ Ốm đau, thai sản</w:t>
            </w:r>
          </w:p>
        </w:tc>
        <w:tc>
          <w:tcPr>
            <w:tcW w:type="dxa" w:w="2340"/>
            <w:tcMar>
              <w:top w:w="100" w:type="dxa"/>
              <w:bottom w:w="100" w:type="dxa"/>
              <w:left w:w="150" w:type="dxa"/>
              <w:right w:w="150" w:type="dxa"/>
            </w:tcMar>
            <w:shd w:fill="F9F9F9"/>
          </w:tcPr>
          <w:p>
            <w:pPr>
              <w:jc w:val="center"/>
            </w:pPr>
            <w:r>
              <w:rPr>
                <w:rFonts w:ascii="Arial" w:hAnsi="Arial"/>
                <w:sz w:val="20"/>
              </w:rPr>
              <w:t>3%</w:t>
            </w:r>
          </w:p>
        </w:tc>
        <w:tc>
          <w:tcPr>
            <w:tcW w:type="dxa" w:w="2340"/>
            <w:tcMar>
              <w:top w:w="100" w:type="dxa"/>
              <w:bottom w:w="100" w:type="dxa"/>
              <w:left w:w="150" w:type="dxa"/>
              <w:right w:w="150" w:type="dxa"/>
            </w:tcMar>
            <w:shd w:fill="F9F9F9"/>
          </w:tcPr>
          <w:p>
            <w:pPr>
              <w:jc w:val="center"/>
            </w:pPr>
            <w:r>
              <w:rPr>
                <w:rFonts w:ascii="Arial" w:hAnsi="Arial"/>
                <w:sz w:val="20"/>
              </w:rPr>
              <w:t>0%</w:t>
            </w:r>
          </w:p>
        </w:tc>
        <w:tc>
          <w:tcPr>
            <w:tcW w:type="dxa" w:w="2340"/>
            <w:tcMar>
              <w:top w:w="100" w:type="dxa"/>
              <w:bottom w:w="100" w:type="dxa"/>
              <w:left w:w="150" w:type="dxa"/>
              <w:right w:w="150" w:type="dxa"/>
            </w:tcMar>
            <w:shd w:fill="F9F9F9"/>
          </w:tcPr>
          <w:p>
            <w:pPr>
              <w:jc w:val="center"/>
            </w:pPr>
            <w:r>
              <w:rPr>
                <w:rFonts w:ascii="Arial" w:hAnsi="Arial"/>
                <w:sz w:val="20"/>
              </w:rPr>
              <w:t>3%</w:t>
            </w:r>
          </w:p>
        </w:tc>
      </w:tr>
      <w:tr>
        <w:tc>
          <w:tcPr>
            <w:tcW w:type="dxa" w:w="2340"/>
            <w:tcMar>
              <w:top w:w="100" w:type="dxa"/>
              <w:bottom w:w="100" w:type="dxa"/>
              <w:left w:w="150" w:type="dxa"/>
              <w:right w:w="150" w:type="dxa"/>
            </w:tcMar>
          </w:tcPr>
          <w:p>
            <w:pPr>
              <w:jc w:val="left"/>
            </w:pPr>
            <w:r>
              <w:rPr>
                <w:rFonts w:ascii="Arial" w:hAnsi="Arial"/>
                <w:sz w:val="20"/>
              </w:rPr>
              <w:t>3. Quỹ Tai nạn lao động, bệnh nghề nghiệp</w:t>
            </w:r>
          </w:p>
        </w:tc>
        <w:tc>
          <w:tcPr>
            <w:tcW w:type="dxa" w:w="2340"/>
            <w:tcMar>
              <w:top w:w="100" w:type="dxa"/>
              <w:bottom w:w="100" w:type="dxa"/>
              <w:left w:w="150" w:type="dxa"/>
              <w:right w:w="150" w:type="dxa"/>
            </w:tcMar>
          </w:tcPr>
          <w:p>
            <w:pPr>
              <w:jc w:val="center"/>
            </w:pPr>
            <w:r>
              <w:rPr>
                <w:rFonts w:ascii="Arial" w:hAnsi="Arial"/>
                <w:sz w:val="20"/>
              </w:rPr>
              <w:t>0.5%</w:t>
            </w:r>
          </w:p>
        </w:tc>
        <w:tc>
          <w:tcPr>
            <w:tcW w:type="dxa" w:w="2340"/>
            <w:tcMar>
              <w:top w:w="100" w:type="dxa"/>
              <w:bottom w:w="100" w:type="dxa"/>
              <w:left w:w="150" w:type="dxa"/>
              <w:right w:w="150" w:type="dxa"/>
            </w:tcMar>
          </w:tcPr>
          <w:p>
            <w:pPr>
              <w:jc w:val="center"/>
            </w:pPr>
            <w:r>
              <w:rPr>
                <w:rFonts w:ascii="Arial" w:hAnsi="Arial"/>
                <w:sz w:val="20"/>
              </w:rPr>
              <w:t>0%</w:t>
            </w:r>
          </w:p>
        </w:tc>
        <w:tc>
          <w:tcPr>
            <w:tcW w:type="dxa" w:w="2340"/>
            <w:tcMar>
              <w:top w:w="100" w:type="dxa"/>
              <w:bottom w:w="100" w:type="dxa"/>
              <w:left w:w="150" w:type="dxa"/>
              <w:right w:w="150" w:type="dxa"/>
            </w:tcMar>
          </w:tcPr>
          <w:p>
            <w:pPr>
              <w:jc w:val="center"/>
            </w:pPr>
            <w:r>
              <w:rPr>
                <w:rFonts w:ascii="Arial" w:hAnsi="Arial"/>
                <w:sz w:val="20"/>
              </w:rPr>
              <w:t>0.5%</w:t>
            </w:r>
          </w:p>
        </w:tc>
      </w:tr>
      <w:tr>
        <w:tc>
          <w:tcPr>
            <w:tcW w:type="dxa" w:w="2340"/>
            <w:tcMar>
              <w:top w:w="100" w:type="dxa"/>
              <w:bottom w:w="100" w:type="dxa"/>
              <w:left w:w="150" w:type="dxa"/>
              <w:right w:w="150" w:type="dxa"/>
            </w:tcMar>
            <w:shd w:fill="F9F9F9"/>
          </w:tcPr>
          <w:p>
            <w:pPr>
              <w:jc w:val="left"/>
            </w:pPr>
            <w:r>
              <w:rPr>
                <w:rFonts w:ascii="Arial" w:hAnsi="Arial"/>
                <w:sz w:val="20"/>
              </w:rPr>
              <w:t>4. Bảo hiểm y tế (BHYT)</w:t>
            </w:r>
          </w:p>
        </w:tc>
        <w:tc>
          <w:tcPr>
            <w:tcW w:type="dxa" w:w="2340"/>
            <w:tcMar>
              <w:top w:w="100" w:type="dxa"/>
              <w:bottom w:w="100" w:type="dxa"/>
              <w:left w:w="150" w:type="dxa"/>
              <w:right w:w="150" w:type="dxa"/>
            </w:tcMar>
            <w:shd w:fill="F9F9F9"/>
          </w:tcPr>
          <w:p>
            <w:pPr>
              <w:jc w:val="center"/>
            </w:pPr>
            <w:r>
              <w:rPr>
                <w:rFonts w:ascii="Arial" w:hAnsi="Arial"/>
                <w:sz w:val="20"/>
              </w:rPr>
              <w:t>3%</w:t>
            </w:r>
          </w:p>
        </w:tc>
        <w:tc>
          <w:tcPr>
            <w:tcW w:type="dxa" w:w="2340"/>
            <w:tcMar>
              <w:top w:w="100" w:type="dxa"/>
              <w:bottom w:w="100" w:type="dxa"/>
              <w:left w:w="150" w:type="dxa"/>
              <w:right w:w="150" w:type="dxa"/>
            </w:tcMar>
            <w:shd w:fill="F9F9F9"/>
          </w:tcPr>
          <w:p>
            <w:pPr>
              <w:jc w:val="center"/>
            </w:pPr>
            <w:r>
              <w:rPr>
                <w:rFonts w:ascii="Arial" w:hAnsi="Arial"/>
                <w:sz w:val="20"/>
              </w:rPr>
              <w:t>1.5%</w:t>
            </w:r>
          </w:p>
        </w:tc>
        <w:tc>
          <w:tcPr>
            <w:tcW w:type="dxa" w:w="2340"/>
            <w:tcMar>
              <w:top w:w="100" w:type="dxa"/>
              <w:bottom w:w="100" w:type="dxa"/>
              <w:left w:w="150" w:type="dxa"/>
              <w:right w:w="150" w:type="dxa"/>
            </w:tcMar>
            <w:shd w:fill="F9F9F9"/>
          </w:tcPr>
          <w:p>
            <w:pPr>
              <w:jc w:val="center"/>
            </w:pPr>
            <w:r>
              <w:rPr>
                <w:rFonts w:ascii="Arial" w:hAnsi="Arial"/>
                <w:sz w:val="20"/>
              </w:rPr>
              <w:t>4.5%</w:t>
            </w:r>
          </w:p>
        </w:tc>
      </w:tr>
      <w:tr>
        <w:tc>
          <w:tcPr>
            <w:tcW w:type="dxa" w:w="2340"/>
            <w:tcMar>
              <w:top w:w="100" w:type="dxa"/>
              <w:bottom w:w="100" w:type="dxa"/>
              <w:left w:w="150" w:type="dxa"/>
              <w:right w:w="150" w:type="dxa"/>
            </w:tcMar>
          </w:tcPr>
          <w:p>
            <w:pPr>
              <w:jc w:val="left"/>
            </w:pPr>
            <w:r>
              <w:rPr>
                <w:rFonts w:ascii="Arial" w:hAnsi="Arial"/>
                <w:sz w:val="20"/>
              </w:rPr>
              <w:t>5. Bảo hiểm thất nghiệp (BHTN)</w:t>
            </w:r>
          </w:p>
        </w:tc>
        <w:tc>
          <w:tcPr>
            <w:tcW w:type="dxa" w:w="2340"/>
            <w:tcMar>
              <w:top w:w="100" w:type="dxa"/>
              <w:bottom w:w="100" w:type="dxa"/>
              <w:left w:w="150" w:type="dxa"/>
              <w:right w:w="150" w:type="dxa"/>
            </w:tcMar>
          </w:tcPr>
          <w:p>
            <w:pPr>
              <w:jc w:val="center"/>
            </w:pPr>
            <w:r>
              <w:rPr>
                <w:rFonts w:ascii="Arial" w:hAnsi="Arial"/>
                <w:sz w:val="20"/>
              </w:rPr>
              <w:t>1%</w:t>
            </w:r>
          </w:p>
        </w:tc>
        <w:tc>
          <w:tcPr>
            <w:tcW w:type="dxa" w:w="2340"/>
            <w:tcMar>
              <w:top w:w="100" w:type="dxa"/>
              <w:bottom w:w="100" w:type="dxa"/>
              <w:left w:w="150" w:type="dxa"/>
              <w:right w:w="150" w:type="dxa"/>
            </w:tcMar>
          </w:tcPr>
          <w:p>
            <w:pPr>
              <w:jc w:val="center"/>
            </w:pPr>
            <w:r>
              <w:rPr>
                <w:rFonts w:ascii="Arial" w:hAnsi="Arial"/>
                <w:sz w:val="20"/>
              </w:rPr>
              <w:t>1%</w:t>
            </w:r>
          </w:p>
        </w:tc>
        <w:tc>
          <w:tcPr>
            <w:tcW w:type="dxa" w:w="2340"/>
            <w:tcMar>
              <w:top w:w="100" w:type="dxa"/>
              <w:bottom w:w="100" w:type="dxa"/>
              <w:left w:w="150" w:type="dxa"/>
              <w:right w:w="150" w:type="dxa"/>
            </w:tcMar>
          </w:tcPr>
          <w:p>
            <w:pPr>
              <w:jc w:val="center"/>
            </w:pPr>
            <w:r>
              <w:rPr>
                <w:rFonts w:ascii="Arial" w:hAnsi="Arial"/>
                <w:sz w:val="20"/>
              </w:rPr>
              <w:t>2%</w:t>
            </w:r>
          </w:p>
        </w:tc>
      </w:tr>
      <w:tr>
        <w:tc>
          <w:tcPr>
            <w:tcW w:type="dxa" w:w="2340"/>
            <w:tcMar>
              <w:top w:w="100" w:type="dxa"/>
              <w:bottom w:w="100" w:type="dxa"/>
              <w:left w:w="150" w:type="dxa"/>
              <w:right w:w="150" w:type="dxa"/>
            </w:tcMar>
            <w:shd w:fill="EAEDED"/>
          </w:tcPr>
          <w:p>
            <w:pPr>
              <w:jc w:val="left"/>
            </w:pPr>
            <w:r>
              <w:rPr>
                <w:rFonts w:ascii="Arial" w:hAnsi="Arial"/>
                <w:b/>
                <w:sz w:val="20"/>
              </w:rPr>
              <w:t>TỔNG CỘNG TIÊU CHUẨN</w:t>
            </w:r>
          </w:p>
        </w:tc>
        <w:tc>
          <w:tcPr>
            <w:tcW w:type="dxa" w:w="2340"/>
            <w:tcMar>
              <w:top w:w="100" w:type="dxa"/>
              <w:bottom w:w="100" w:type="dxa"/>
              <w:left w:w="150" w:type="dxa"/>
              <w:right w:w="150" w:type="dxa"/>
            </w:tcMar>
            <w:shd w:fill="EAEDED"/>
          </w:tcPr>
          <w:p>
            <w:pPr>
              <w:jc w:val="center"/>
            </w:pPr>
            <w:r>
              <w:rPr>
                <w:rFonts w:ascii="Arial" w:hAnsi="Arial"/>
                <w:b/>
                <w:sz w:val="20"/>
              </w:rPr>
              <w:t>21.5%</w:t>
            </w:r>
          </w:p>
        </w:tc>
        <w:tc>
          <w:tcPr>
            <w:tcW w:type="dxa" w:w="2340"/>
            <w:tcMar>
              <w:top w:w="100" w:type="dxa"/>
              <w:bottom w:w="100" w:type="dxa"/>
              <w:left w:w="150" w:type="dxa"/>
              <w:right w:w="150" w:type="dxa"/>
            </w:tcMar>
            <w:shd w:fill="EAEDED"/>
          </w:tcPr>
          <w:p>
            <w:pPr>
              <w:jc w:val="center"/>
            </w:pPr>
            <w:r>
              <w:rPr>
                <w:rFonts w:ascii="Arial" w:hAnsi="Arial"/>
                <w:b/>
                <w:sz w:val="20"/>
              </w:rPr>
              <w:t>10.5%</w:t>
            </w:r>
          </w:p>
        </w:tc>
        <w:tc>
          <w:tcPr>
            <w:tcW w:type="dxa" w:w="2340"/>
            <w:tcMar>
              <w:top w:w="100" w:type="dxa"/>
              <w:bottom w:w="100" w:type="dxa"/>
              <w:left w:w="150" w:type="dxa"/>
              <w:right w:w="150" w:type="dxa"/>
            </w:tcMar>
            <w:shd w:fill="EAEDED"/>
          </w:tcPr>
          <w:p>
            <w:pPr>
              <w:jc w:val="center"/>
            </w:pPr>
            <w:r>
              <w:rPr>
                <w:rFonts w:ascii="Arial" w:hAnsi="Arial"/>
                <w:b/>
                <w:sz w:val="20"/>
              </w:rPr>
              <w:t>32%</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